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3"/>
        <w:gridCol w:w="8207"/>
      </w:tblGrid>
      <w:tr w:rsidR="007C13DD" w14:paraId="4B74EED1" w14:textId="77777777" w:rsidTr="00BD7696">
        <w:trPr>
          <w:trHeight w:val="620"/>
        </w:trPr>
        <w:tc>
          <w:tcPr>
            <w:tcW w:w="1603" w:type="dxa"/>
          </w:tcPr>
          <w:p w14:paraId="43FD804A" w14:textId="77777777" w:rsidR="007C13DD" w:rsidRDefault="007C13DD">
            <w:r>
              <w:t>Title</w:t>
            </w:r>
          </w:p>
        </w:tc>
        <w:tc>
          <w:tcPr>
            <w:tcW w:w="8207" w:type="dxa"/>
          </w:tcPr>
          <w:p w14:paraId="0E45E1C6" w14:textId="77777777" w:rsidR="00B9522F" w:rsidRPr="002C6135" w:rsidRDefault="00B9522F" w:rsidP="00B9522F">
            <w:pPr>
              <w:jc w:val="center"/>
              <w:rPr>
                <w:b/>
                <w:bCs/>
                <w:sz w:val="28"/>
                <w:szCs w:val="28"/>
              </w:rPr>
            </w:pPr>
            <w:r>
              <w:rPr>
                <w:b/>
                <w:bCs/>
                <w:sz w:val="28"/>
                <w:szCs w:val="28"/>
              </w:rPr>
              <w:t>23.</w:t>
            </w:r>
            <w:r w:rsidRPr="002C6135">
              <w:rPr>
                <w:b/>
                <w:bCs/>
                <w:sz w:val="28"/>
                <w:szCs w:val="28"/>
              </w:rPr>
              <w:t xml:space="preserve"> Conflict Resolution Protocol</w:t>
            </w:r>
          </w:p>
          <w:p w14:paraId="0B154E99" w14:textId="386CA275" w:rsidR="009626B0" w:rsidRDefault="009626B0" w:rsidP="00CB1DAD">
            <w:pPr>
              <w:jc w:val="center"/>
            </w:pPr>
          </w:p>
        </w:tc>
      </w:tr>
      <w:tr w:rsidR="007C13DD" w14:paraId="1B0C5097" w14:textId="77777777">
        <w:trPr>
          <w:trHeight w:val="800"/>
        </w:trPr>
        <w:tc>
          <w:tcPr>
            <w:tcW w:w="1603" w:type="dxa"/>
          </w:tcPr>
          <w:p w14:paraId="5FFA9A58" w14:textId="77777777" w:rsidR="007C13DD" w:rsidRDefault="007C13DD">
            <w:r>
              <w:t>Objective</w:t>
            </w:r>
          </w:p>
        </w:tc>
        <w:tc>
          <w:tcPr>
            <w:tcW w:w="8207" w:type="dxa"/>
          </w:tcPr>
          <w:p w14:paraId="563148AD" w14:textId="77777777" w:rsidR="00FF49E7" w:rsidRPr="002C6135" w:rsidRDefault="00FF49E7" w:rsidP="00FF49E7">
            <w:r w:rsidRPr="002C6135">
              <w:t>To effectively address and resolve conflicts that may arise within the team or between management and staff.</w:t>
            </w:r>
          </w:p>
          <w:p w14:paraId="2C001AAE" w14:textId="3AA13440" w:rsidR="007C13DD" w:rsidRDefault="007C13DD" w:rsidP="003F145F"/>
        </w:tc>
      </w:tr>
      <w:tr w:rsidR="007C13DD" w14:paraId="7EDBC7B7" w14:textId="77777777">
        <w:trPr>
          <w:trHeight w:val="800"/>
        </w:trPr>
        <w:tc>
          <w:tcPr>
            <w:tcW w:w="1603" w:type="dxa"/>
          </w:tcPr>
          <w:p w14:paraId="427C805B" w14:textId="77777777" w:rsidR="007C13DD" w:rsidRDefault="007C13DD">
            <w:r>
              <w:t>Responsibility</w:t>
            </w:r>
          </w:p>
        </w:tc>
        <w:tc>
          <w:tcPr>
            <w:tcW w:w="8207" w:type="dxa"/>
          </w:tcPr>
          <w:p w14:paraId="3A312B2B" w14:textId="77777777" w:rsidR="00FF49E7" w:rsidRPr="002C6135" w:rsidRDefault="00FF49E7" w:rsidP="00FF49E7">
            <w:r w:rsidRPr="002C6135">
              <w:t>Management staff, Crew Members</w:t>
            </w:r>
          </w:p>
          <w:p w14:paraId="3D54F22F" w14:textId="6D5BC7BB" w:rsidR="007C13DD" w:rsidRDefault="007C13DD" w:rsidP="003857B9"/>
        </w:tc>
      </w:tr>
      <w:tr w:rsidR="007C13DD" w14:paraId="23A105D5" w14:textId="77777777">
        <w:trPr>
          <w:trHeight w:val="9350"/>
        </w:trPr>
        <w:tc>
          <w:tcPr>
            <w:tcW w:w="1603" w:type="dxa"/>
          </w:tcPr>
          <w:p w14:paraId="56602B72" w14:textId="77777777" w:rsidR="008E2E82" w:rsidRDefault="008E2E82">
            <w:r>
              <w:t>Steps</w:t>
            </w:r>
          </w:p>
        </w:tc>
        <w:tc>
          <w:tcPr>
            <w:tcW w:w="8207" w:type="dxa"/>
          </w:tcPr>
          <w:p w14:paraId="53B898C3" w14:textId="77777777" w:rsidR="00FF49E7" w:rsidRPr="002C6135" w:rsidRDefault="00FF49E7" w:rsidP="00FF49E7">
            <w:pPr>
              <w:numPr>
                <w:ilvl w:val="0"/>
                <w:numId w:val="4"/>
              </w:numPr>
              <w:spacing w:after="160" w:line="259" w:lineRule="auto"/>
            </w:pPr>
            <w:r w:rsidRPr="002C6135">
              <w:rPr>
                <w:b/>
                <w:bCs/>
              </w:rPr>
              <w:t>Privacy and Discretion:</w:t>
            </w:r>
            <w:r w:rsidRPr="002C6135">
              <w:t xml:space="preserve"> Conflicts should be addressed discreetly and away from the view and hearing of customers and other crew members, whenever possible.</w:t>
            </w:r>
          </w:p>
          <w:p w14:paraId="6BC95AAC" w14:textId="77777777" w:rsidR="00FF49E7" w:rsidRPr="002C6135" w:rsidRDefault="00FF49E7" w:rsidP="00FF49E7">
            <w:pPr>
              <w:numPr>
                <w:ilvl w:val="0"/>
                <w:numId w:val="4"/>
              </w:numPr>
              <w:spacing w:after="160" w:line="259" w:lineRule="auto"/>
            </w:pPr>
            <w:r w:rsidRPr="002C6135">
              <w:rPr>
                <w:b/>
                <w:bCs/>
              </w:rPr>
              <w:t>Third-party Witness:</w:t>
            </w:r>
            <w:r w:rsidRPr="002C6135">
              <w:t xml:space="preserve"> Whenever discussing conflicts with staff members, ensure that a third party is present as a witness to the conversation.</w:t>
            </w:r>
          </w:p>
          <w:p w14:paraId="26A87B50" w14:textId="77777777" w:rsidR="00FF49E7" w:rsidRPr="002C6135" w:rsidRDefault="00FF49E7" w:rsidP="00FF49E7">
            <w:pPr>
              <w:numPr>
                <w:ilvl w:val="0"/>
                <w:numId w:val="4"/>
              </w:numPr>
              <w:spacing w:after="160" w:line="259" w:lineRule="auto"/>
            </w:pPr>
            <w:r w:rsidRPr="002C6135">
              <w:rPr>
                <w:b/>
                <w:bCs/>
              </w:rPr>
              <w:t>Documentation:</w:t>
            </w:r>
            <w:r w:rsidRPr="002C6135">
              <w:t xml:space="preserve"> If the conflict escalates or requires formal documentation, create a detailed report outlining the issue, participants involved, and the steps taken to address it.</w:t>
            </w:r>
          </w:p>
          <w:p w14:paraId="288F653C" w14:textId="77777777" w:rsidR="00FF49E7" w:rsidRPr="002C6135" w:rsidRDefault="00FF49E7" w:rsidP="00FF49E7">
            <w:pPr>
              <w:numPr>
                <w:ilvl w:val="0"/>
                <w:numId w:val="4"/>
              </w:numPr>
              <w:spacing w:after="160" w:line="259" w:lineRule="auto"/>
            </w:pPr>
            <w:r w:rsidRPr="002C6135">
              <w:rPr>
                <w:b/>
                <w:bCs/>
              </w:rPr>
              <w:t>Local Resolution:</w:t>
            </w:r>
            <w:r w:rsidRPr="002C6135">
              <w:t xml:space="preserve"> Initially, attempt to resolve the conflict at the store level through open communication, active listening, and conflict mediation techniques.</w:t>
            </w:r>
          </w:p>
          <w:p w14:paraId="202B78FA" w14:textId="77777777" w:rsidR="00FF49E7" w:rsidRPr="002C6135" w:rsidRDefault="00FF49E7" w:rsidP="00FF49E7">
            <w:pPr>
              <w:numPr>
                <w:ilvl w:val="0"/>
                <w:numId w:val="4"/>
              </w:numPr>
              <w:spacing w:after="160" w:line="259" w:lineRule="auto"/>
            </w:pPr>
            <w:r w:rsidRPr="002C6135">
              <w:rPr>
                <w:b/>
                <w:bCs/>
              </w:rPr>
              <w:t>Safety and Compliance:</w:t>
            </w:r>
            <w:r w:rsidRPr="002C6135">
              <w:t xml:space="preserve"> As an employer, it is our responsibility to maintain a safe work environment in compliance with all state and federal laws. Ensure that the resolution process prioritizes employee safety.</w:t>
            </w:r>
          </w:p>
          <w:p w14:paraId="3ECCE1EB" w14:textId="77777777" w:rsidR="00FF49E7" w:rsidRPr="002C6135" w:rsidRDefault="00FF49E7" w:rsidP="00FF49E7">
            <w:pPr>
              <w:numPr>
                <w:ilvl w:val="0"/>
                <w:numId w:val="4"/>
              </w:numPr>
              <w:spacing w:after="160" w:line="259" w:lineRule="auto"/>
            </w:pPr>
            <w:r w:rsidRPr="002C6135">
              <w:rPr>
                <w:b/>
                <w:bCs/>
              </w:rPr>
              <w:t>Escalation to Higher Authorities:</w:t>
            </w:r>
            <w:r w:rsidRPr="002C6135">
              <w:t xml:space="preserve"> If the conflict cannot be satisfactorily resolved at the store level, contact the Operations Manager (OM) or the Human Resources (HR) department for further assistance and intervention.</w:t>
            </w:r>
          </w:p>
          <w:p w14:paraId="5503B8B4" w14:textId="77777777" w:rsidR="00FF49E7" w:rsidRPr="002C6135" w:rsidRDefault="00FF49E7" w:rsidP="00FF49E7">
            <w:pPr>
              <w:numPr>
                <w:ilvl w:val="0"/>
                <w:numId w:val="4"/>
              </w:numPr>
              <w:spacing w:after="160" w:line="259" w:lineRule="auto"/>
            </w:pPr>
            <w:r w:rsidRPr="002C6135">
              <w:rPr>
                <w:b/>
                <w:bCs/>
              </w:rPr>
              <w:t>Involvement of Authorities:</w:t>
            </w:r>
            <w:r w:rsidRPr="002C6135">
              <w:t xml:space="preserve"> In extreme cases where the situation may require law enforcement or other external authorities, it is the responsibility of the acting management to contact OM or HR, who will assist in filing any necessary reports.</w:t>
            </w:r>
          </w:p>
          <w:p w14:paraId="63648DCE" w14:textId="7B8DCE30" w:rsidR="00112EED" w:rsidRPr="004F4FBB" w:rsidRDefault="00112EED" w:rsidP="00CB1DAD"/>
        </w:tc>
      </w:tr>
      <w:tr w:rsidR="007C13DD" w14:paraId="09E862AD" w14:textId="77777777">
        <w:trPr>
          <w:trHeight w:val="800"/>
        </w:trPr>
        <w:tc>
          <w:tcPr>
            <w:tcW w:w="1603" w:type="dxa"/>
          </w:tcPr>
          <w:p w14:paraId="736988BA" w14:textId="77777777" w:rsidR="007C13DD" w:rsidRDefault="007C13DD">
            <w:r>
              <w:t>Revision Date</w:t>
            </w:r>
          </w:p>
        </w:tc>
        <w:tc>
          <w:tcPr>
            <w:tcW w:w="8207" w:type="dxa"/>
          </w:tcPr>
          <w:p w14:paraId="32AF4B4C" w14:textId="2FA18D7B" w:rsidR="007C13DD" w:rsidRDefault="004D6748">
            <w:pPr>
              <w:jc w:val="center"/>
            </w:pPr>
            <w:r>
              <w:t>9/2</w:t>
            </w:r>
            <w:r w:rsidR="00FF49E7">
              <w:t>5</w:t>
            </w:r>
            <w:r>
              <w:t>/2</w:t>
            </w:r>
            <w:r w:rsidR="008660B0">
              <w:t>023</w:t>
            </w:r>
          </w:p>
        </w:tc>
      </w:tr>
    </w:tbl>
    <w:p w14:paraId="331E45F0" w14:textId="77777777" w:rsidR="007C13DD" w:rsidRDefault="007C13DD" w:rsidP="004668C6"/>
    <w:sectPr w:rsidR="007C13DD" w:rsidSect="00E5049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A4F47" w14:textId="77777777" w:rsidR="00B77EB9" w:rsidRDefault="00B77EB9">
      <w:r>
        <w:separator/>
      </w:r>
    </w:p>
  </w:endnote>
  <w:endnote w:type="continuationSeparator" w:id="0">
    <w:p w14:paraId="341CD533" w14:textId="77777777" w:rsidR="00B77EB9" w:rsidRDefault="00B77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7E4E5" w14:textId="77777777" w:rsidR="004668C6" w:rsidRDefault="00173888">
    <w:pPr>
      <w:pStyle w:val="Footer"/>
      <w:rPr>
        <w:rStyle w:val="PageNumber"/>
      </w:rPr>
    </w:pPr>
    <w:r>
      <w:tab/>
      <w:t xml:space="preserve">Page </w:t>
    </w:r>
    <w:r w:rsidR="006061B1">
      <w:rPr>
        <w:rStyle w:val="PageNumber"/>
      </w:rPr>
      <w:fldChar w:fldCharType="begin"/>
    </w:r>
    <w:r>
      <w:rPr>
        <w:rStyle w:val="PageNumber"/>
      </w:rPr>
      <w:instrText xml:space="preserve"> PAGE </w:instrText>
    </w:r>
    <w:r w:rsidR="006061B1">
      <w:rPr>
        <w:rStyle w:val="PageNumber"/>
      </w:rPr>
      <w:fldChar w:fldCharType="separate"/>
    </w:r>
    <w:r w:rsidR="00C80302">
      <w:rPr>
        <w:rStyle w:val="PageNumber"/>
      </w:rPr>
      <w:t>1</w:t>
    </w:r>
    <w:r w:rsidR="006061B1">
      <w:rPr>
        <w:rStyle w:val="PageNumber"/>
      </w:rPr>
      <w:fldChar w:fldCharType="end"/>
    </w:r>
    <w:r>
      <w:rPr>
        <w:rStyle w:val="PageNumber"/>
      </w:rPr>
      <w:t xml:space="preserve"> of </w:t>
    </w:r>
    <w:r w:rsidR="004668C6">
      <w:rPr>
        <w:rStyle w:val="PageNumber"/>
      </w:rPr>
      <w:t>1</w:t>
    </w:r>
  </w:p>
  <w:p w14:paraId="37C4E3D5" w14:textId="77777777" w:rsidR="00173888" w:rsidRDefault="00173888">
    <w:pPr>
      <w:pStyle w:val="Footer"/>
    </w:pP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D009F" w14:textId="77777777" w:rsidR="00B77EB9" w:rsidRDefault="00B77EB9">
      <w:r>
        <w:separator/>
      </w:r>
    </w:p>
  </w:footnote>
  <w:footnote w:type="continuationSeparator" w:id="0">
    <w:p w14:paraId="1BD05603" w14:textId="77777777" w:rsidR="00B77EB9" w:rsidRDefault="00B77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0AEC"/>
    <w:multiLevelType w:val="hybridMultilevel"/>
    <w:tmpl w:val="8304AE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0D2B18"/>
    <w:multiLevelType w:val="multilevel"/>
    <w:tmpl w:val="DC4A8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4D3E8F"/>
    <w:multiLevelType w:val="hybridMultilevel"/>
    <w:tmpl w:val="6EDC7E46"/>
    <w:lvl w:ilvl="0" w:tplc="7758EB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79F713A"/>
    <w:multiLevelType w:val="hybridMultilevel"/>
    <w:tmpl w:val="32621F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58906372">
    <w:abstractNumId w:val="3"/>
  </w:num>
  <w:num w:numId="2" w16cid:durableId="1041247863">
    <w:abstractNumId w:val="2"/>
  </w:num>
  <w:num w:numId="3" w16cid:durableId="362874890">
    <w:abstractNumId w:val="0"/>
  </w:num>
  <w:num w:numId="4" w16cid:durableId="277951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3DD"/>
    <w:rsid w:val="00023AF1"/>
    <w:rsid w:val="00070714"/>
    <w:rsid w:val="000F46CF"/>
    <w:rsid w:val="00112EED"/>
    <w:rsid w:val="00173888"/>
    <w:rsid w:val="00187BED"/>
    <w:rsid w:val="001E32EC"/>
    <w:rsid w:val="001F2ABC"/>
    <w:rsid w:val="0022034F"/>
    <w:rsid w:val="0022470C"/>
    <w:rsid w:val="002732CE"/>
    <w:rsid w:val="003857B9"/>
    <w:rsid w:val="003A03CC"/>
    <w:rsid w:val="003F145F"/>
    <w:rsid w:val="00430E66"/>
    <w:rsid w:val="00450D08"/>
    <w:rsid w:val="004668C6"/>
    <w:rsid w:val="004D1BFB"/>
    <w:rsid w:val="004D6748"/>
    <w:rsid w:val="004F4FBB"/>
    <w:rsid w:val="004F5068"/>
    <w:rsid w:val="005B588D"/>
    <w:rsid w:val="006061B1"/>
    <w:rsid w:val="00635B1B"/>
    <w:rsid w:val="00640569"/>
    <w:rsid w:val="00677124"/>
    <w:rsid w:val="006B3D12"/>
    <w:rsid w:val="007C13DD"/>
    <w:rsid w:val="007E5B3C"/>
    <w:rsid w:val="008501E9"/>
    <w:rsid w:val="008660B0"/>
    <w:rsid w:val="00872EAD"/>
    <w:rsid w:val="008C1ABC"/>
    <w:rsid w:val="008D1F2E"/>
    <w:rsid w:val="008E2E82"/>
    <w:rsid w:val="009626B0"/>
    <w:rsid w:val="009D5298"/>
    <w:rsid w:val="009E5AAF"/>
    <w:rsid w:val="00A126C2"/>
    <w:rsid w:val="00A34508"/>
    <w:rsid w:val="00B2081B"/>
    <w:rsid w:val="00B336CF"/>
    <w:rsid w:val="00B64780"/>
    <w:rsid w:val="00B77EB9"/>
    <w:rsid w:val="00B9522F"/>
    <w:rsid w:val="00BD7696"/>
    <w:rsid w:val="00BE0208"/>
    <w:rsid w:val="00BF194C"/>
    <w:rsid w:val="00C1569E"/>
    <w:rsid w:val="00C273A7"/>
    <w:rsid w:val="00C80302"/>
    <w:rsid w:val="00C85F57"/>
    <w:rsid w:val="00CB1DAD"/>
    <w:rsid w:val="00D77D4B"/>
    <w:rsid w:val="00DA1B5C"/>
    <w:rsid w:val="00E338E0"/>
    <w:rsid w:val="00E50494"/>
    <w:rsid w:val="00ED480A"/>
    <w:rsid w:val="00EE0666"/>
    <w:rsid w:val="00FC0A78"/>
    <w:rsid w:val="00FD0B04"/>
    <w:rsid w:val="00FF4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B35949"/>
  <w15:docId w15:val="{28D98D74-7BB7-4EE6-AF16-84E1822B5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C273A7"/>
    <w:rPr>
      <w:rFonts w:ascii="Tahoma" w:hAnsi="Tahoma" w:cs="Tahoma"/>
      <w:sz w:val="16"/>
      <w:szCs w:val="16"/>
    </w:rPr>
  </w:style>
  <w:style w:type="character" w:customStyle="1" w:styleId="BalloonTextChar">
    <w:name w:val="Balloon Text Char"/>
    <w:basedOn w:val="DefaultParagraphFont"/>
    <w:link w:val="BalloonText"/>
    <w:uiPriority w:val="99"/>
    <w:semiHidden/>
    <w:rsid w:val="00C273A7"/>
    <w:rPr>
      <w:rFonts w:ascii="Tahoma" w:hAnsi="Tahoma" w:cs="Tahoma"/>
      <w:noProof/>
      <w:sz w:val="16"/>
      <w:szCs w:val="16"/>
    </w:rPr>
  </w:style>
  <w:style w:type="paragraph" w:styleId="ListParagraph">
    <w:name w:val="List Paragraph"/>
    <w:basedOn w:val="Normal"/>
    <w:uiPriority w:val="34"/>
    <w:qFormat/>
    <w:rsid w:val="00112E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Title</vt:lpstr>
    </vt:vector>
  </TitlesOfParts>
  <Company>Lubricar inc.</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Richard B. Jones</dc:creator>
  <cp:lastModifiedBy>McKenzie Rich</cp:lastModifiedBy>
  <cp:revision>3</cp:revision>
  <cp:lastPrinted>2008-05-12T19:57:00Z</cp:lastPrinted>
  <dcterms:created xsi:type="dcterms:W3CDTF">2023-09-27T19:20:00Z</dcterms:created>
  <dcterms:modified xsi:type="dcterms:W3CDTF">2023-09-27T19:21:00Z</dcterms:modified>
</cp:coreProperties>
</file>